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0089" w14:textId="0BF2E579" w:rsidR="002F5F56" w:rsidRDefault="002F5F56">
      <w:r>
        <w:fldChar w:fldCharType="begin"/>
      </w:r>
      <w:r>
        <w:instrText>HYPERLINK "https://static1.squarespace.com/static/5b855bd5cef372d1e9a8ef0e/t/62c4851ea16501756e22f01e/1657046303638/engAGED+Calendar+Flyer-22-508.pdf"</w:instrText>
      </w:r>
      <w:r>
        <w:fldChar w:fldCharType="separate"/>
      </w:r>
      <w:proofErr w:type="spellStart"/>
      <w:r w:rsidRPr="002F5F56">
        <w:rPr>
          <w:rStyle w:val="Hyperlink"/>
        </w:rPr>
        <w:t>EngAged</w:t>
      </w:r>
      <w:proofErr w:type="spellEnd"/>
      <w:r w:rsidRPr="002F5F56">
        <w:rPr>
          <w:rStyle w:val="Hyperlink"/>
        </w:rPr>
        <w:t xml:space="preserve"> Calendar of Social Engagement Opportunities</w:t>
      </w:r>
      <w:r>
        <w:fldChar w:fldCharType="end"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697"/>
        <w:gridCol w:w="5376"/>
        <w:gridCol w:w="6062"/>
      </w:tblGrid>
      <w:tr w:rsidR="009B1E8C" w14:paraId="4C8CF65F" w14:textId="77777777" w:rsidTr="00E44E01">
        <w:trPr>
          <w:trHeight w:val="300"/>
        </w:trPr>
        <w:tc>
          <w:tcPr>
            <w:tcW w:w="1697" w:type="dxa"/>
          </w:tcPr>
          <w:p w14:paraId="33E61C8F" w14:textId="7127502D" w:rsidR="009B1E8C" w:rsidRDefault="0087627D" w:rsidP="4FFE35E8">
            <w:r>
              <w:t>2/2</w:t>
            </w:r>
          </w:p>
          <w:p w14:paraId="69A44B9B" w14:textId="77777777" w:rsidR="0087627D" w:rsidRDefault="0087627D" w:rsidP="4FFE35E8"/>
          <w:p w14:paraId="0A9C8442" w14:textId="4F05C95B" w:rsidR="0087627D" w:rsidRDefault="0087627D" w:rsidP="4FFE35E8">
            <w:r>
              <w:t>*Black History Month</w:t>
            </w:r>
          </w:p>
          <w:p w14:paraId="0F8D0B95" w14:textId="77777777" w:rsidR="00E85224" w:rsidRDefault="00E85224" w:rsidP="4FFE35E8"/>
          <w:p w14:paraId="1733A86A" w14:textId="19251704" w:rsidR="00E85224" w:rsidRDefault="00E85224" w:rsidP="4FFE35E8"/>
        </w:tc>
        <w:tc>
          <w:tcPr>
            <w:tcW w:w="5376" w:type="dxa"/>
          </w:tcPr>
          <w:p w14:paraId="33D09811" w14:textId="69390074" w:rsidR="009B1E8C" w:rsidRDefault="00CE621A" w:rsidP="4FFE35E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D35DD9" wp14:editId="5D28FB4C">
                  <wp:extent cx="3272497" cy="2743200"/>
                  <wp:effectExtent l="0" t="0" r="4445" b="0"/>
                  <wp:docPr id="1544986223" name="Picture 4" descr="A person and person danc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986223" name="Picture 4" descr="A person and person dancing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497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</w:tcPr>
          <w:p w14:paraId="694F8EE4" w14:textId="5F3DF5C9" w:rsidR="00100998" w:rsidRDefault="00100998" w:rsidP="00100998">
            <w:pPr>
              <w:rPr>
                <w:rFonts w:ascii="Aptos" w:eastAsia="Aptos" w:hAnsi="Aptos" w:cs="Aptos"/>
              </w:rPr>
            </w:pPr>
            <w:r w:rsidRPr="00100998">
              <w:rPr>
                <w:rFonts w:ascii="Aptos" w:eastAsia="Aptos" w:hAnsi="Aptos" w:cs="Aptos"/>
              </w:rPr>
              <w:t xml:space="preserve">February is </w:t>
            </w:r>
            <w:r>
              <w:rPr>
                <w:rFonts w:ascii="Aptos" w:eastAsia="Aptos" w:hAnsi="Aptos" w:cs="Aptos"/>
              </w:rPr>
              <w:t>#BlackHistoryMonth</w:t>
            </w:r>
            <w:r w:rsidRPr="00100998">
              <w:rPr>
                <w:rFonts w:ascii="Aptos" w:eastAsia="Aptos" w:hAnsi="Aptos" w:cs="Aptos"/>
              </w:rPr>
              <w:t>—a time to honor the achievements, resilience, and contributions of Black leaders, innovators, and communities, past and present.</w:t>
            </w:r>
          </w:p>
          <w:p w14:paraId="20EF1F6E" w14:textId="77777777" w:rsidR="00100998" w:rsidRPr="00100998" w:rsidRDefault="00100998" w:rsidP="00100998">
            <w:pPr>
              <w:rPr>
                <w:rFonts w:ascii="Aptos" w:eastAsia="Aptos" w:hAnsi="Aptos" w:cs="Aptos"/>
              </w:rPr>
            </w:pPr>
          </w:p>
          <w:p w14:paraId="57697264" w14:textId="3CEE3A22" w:rsidR="00100998" w:rsidRPr="00100998" w:rsidRDefault="00100998" w:rsidP="00100998">
            <w:pPr>
              <w:rPr>
                <w:rFonts w:ascii="Aptos" w:eastAsia="Aptos" w:hAnsi="Aptos" w:cs="Aptos"/>
              </w:rPr>
            </w:pPr>
            <w:r w:rsidRPr="00100998">
              <w:rPr>
                <w:rFonts w:ascii="Aptos" w:eastAsia="Aptos" w:hAnsi="Aptos" w:cs="Aptos"/>
              </w:rPr>
              <w:t>It’s also an opportunity to build meaningful connections: by listening to lived experiences, learning from Black voices, supporting Black-owned businesses and organizations, and creating spaces where everyone feels seen and valued.</w:t>
            </w:r>
          </w:p>
          <w:p w14:paraId="78190F1B" w14:textId="77777777" w:rsidR="00E85224" w:rsidRDefault="00E85224" w:rsidP="001F1873">
            <w:pPr>
              <w:rPr>
                <w:rFonts w:ascii="Aptos" w:eastAsia="Aptos" w:hAnsi="Aptos" w:cs="Aptos"/>
              </w:rPr>
            </w:pPr>
          </w:p>
          <w:p w14:paraId="6466886F" w14:textId="6338A2B3" w:rsidR="009B1E8C" w:rsidRPr="001065F8" w:rsidRDefault="009B1E8C" w:rsidP="001F1873">
            <w:pPr>
              <w:rPr>
                <w:rFonts w:ascii="Aptos" w:eastAsia="Aptos" w:hAnsi="Aptos" w:cs="Aptos"/>
              </w:rPr>
            </w:pPr>
            <w:r w:rsidRPr="00D956D8">
              <w:rPr>
                <w:rFonts w:ascii="Aptos" w:eastAsia="Aptos" w:hAnsi="Aptos" w:cs="Aptos"/>
              </w:rPr>
              <w:t>Discover more ways to build connection — head to ConnectWI.org.</w:t>
            </w:r>
            <w:r>
              <w:rPr>
                <w:rFonts w:ascii="Aptos" w:eastAsia="Aptos" w:hAnsi="Aptos" w:cs="Aptos"/>
              </w:rPr>
              <w:t xml:space="preserve"> </w:t>
            </w:r>
            <w:r w:rsidRPr="4FFE35E8">
              <w:rPr>
                <w:rFonts w:ascii="Aptos" w:eastAsia="Aptos" w:hAnsi="Aptos" w:cs="Aptos"/>
              </w:rPr>
              <w:t>#ConnectWI</w:t>
            </w:r>
            <w:r w:rsidR="004164B8">
              <w:rPr>
                <w:rFonts w:ascii="Aptos" w:eastAsia="Aptos" w:hAnsi="Aptos" w:cs="Aptos"/>
              </w:rPr>
              <w:t xml:space="preserve"> #SocialConnection</w:t>
            </w:r>
          </w:p>
        </w:tc>
      </w:tr>
      <w:tr w:rsidR="00DD7F09" w14:paraId="1D226B0A" w14:textId="77777777" w:rsidTr="00E44E01">
        <w:trPr>
          <w:trHeight w:val="300"/>
        </w:trPr>
        <w:tc>
          <w:tcPr>
            <w:tcW w:w="1697" w:type="dxa"/>
          </w:tcPr>
          <w:p w14:paraId="0580C464" w14:textId="0E03D25F" w:rsidR="00DD7F09" w:rsidRDefault="004E07E3" w:rsidP="00DD7F09">
            <w:r>
              <w:t>2</w:t>
            </w:r>
            <w:r w:rsidR="009F6B8F">
              <w:t>/11</w:t>
            </w:r>
          </w:p>
          <w:p w14:paraId="3049D8C4" w14:textId="77777777" w:rsidR="009F6B8F" w:rsidRDefault="009F6B8F" w:rsidP="00DD7F09"/>
          <w:p w14:paraId="0C7BB91F" w14:textId="5F9E6480" w:rsidR="00247326" w:rsidRDefault="00247326" w:rsidP="00DD7F09">
            <w:r>
              <w:t>*National Make a Friend Day</w:t>
            </w:r>
          </w:p>
          <w:p w14:paraId="1CCC67CA" w14:textId="35D973EC" w:rsidR="009F6B8F" w:rsidRDefault="009F6B8F" w:rsidP="00DD7F09"/>
        </w:tc>
        <w:tc>
          <w:tcPr>
            <w:tcW w:w="5376" w:type="dxa"/>
          </w:tcPr>
          <w:p w14:paraId="68B67145" w14:textId="13FA10B3" w:rsidR="00DD7F09" w:rsidRDefault="00155D04" w:rsidP="00DD7F0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5F6AF5" wp14:editId="4DC5356F">
                  <wp:extent cx="3272345" cy="2743200"/>
                  <wp:effectExtent l="0" t="0" r="4445" b="0"/>
                  <wp:docPr id="113608324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083249" name="Picture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34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</w:tcPr>
          <w:p w14:paraId="6F4CAE9A" w14:textId="3AAE425E" w:rsidR="00B71205" w:rsidRDefault="00B71205" w:rsidP="00B71205">
            <w:r w:rsidRPr="00B71205">
              <w:t>Friendship and social connection matter at every stage of life. Staying connected helps reduce loneliness, supports mental and emotional well-being, and strengthens independence</w:t>
            </w:r>
            <w:r>
              <w:t>.</w:t>
            </w:r>
          </w:p>
          <w:p w14:paraId="3B252CC7" w14:textId="77777777" w:rsidR="00B71205" w:rsidRPr="00B71205" w:rsidRDefault="00B71205" w:rsidP="00B71205"/>
          <w:p w14:paraId="6BD32B0D" w14:textId="77777777" w:rsidR="00B71205" w:rsidRDefault="00B71205" w:rsidP="00B71205">
            <w:r w:rsidRPr="00B71205">
              <w:t>Building connections can start small: a phone call, a shared meal, a class, or a community group. Accessible programs, peer support, and inclusive spaces make it possible for everyone to belong and build meaningful relationships.</w:t>
            </w:r>
          </w:p>
          <w:p w14:paraId="011FBC0F" w14:textId="77777777" w:rsidR="00B71205" w:rsidRPr="00B71205" w:rsidRDefault="00B71205" w:rsidP="00B71205"/>
          <w:p w14:paraId="3A244972" w14:textId="273139E2" w:rsidR="00DD7F09" w:rsidRPr="001065F8" w:rsidRDefault="00DD7F09" w:rsidP="00DD7F09">
            <w:pPr>
              <w:rPr>
                <w:rFonts w:ascii="Aptos" w:eastAsia="Aptos" w:hAnsi="Aptos" w:cs="Aptos"/>
              </w:rPr>
            </w:pPr>
            <w:r w:rsidRPr="00D956D8">
              <w:rPr>
                <w:rFonts w:ascii="Aptos" w:eastAsia="Aptos" w:hAnsi="Aptos" w:cs="Aptos"/>
              </w:rPr>
              <w:t>Discover more ways to build connection — head to ConnectWI.org.</w:t>
            </w:r>
            <w:r>
              <w:rPr>
                <w:rFonts w:ascii="Aptos" w:eastAsia="Aptos" w:hAnsi="Aptos" w:cs="Aptos"/>
              </w:rPr>
              <w:t xml:space="preserve"> </w:t>
            </w:r>
            <w:r w:rsidRPr="4FFE35E8">
              <w:rPr>
                <w:rFonts w:ascii="Aptos" w:eastAsia="Aptos" w:hAnsi="Aptos" w:cs="Aptos"/>
              </w:rPr>
              <w:t>#ConnectWI</w:t>
            </w:r>
            <w:r w:rsidR="004164B8">
              <w:rPr>
                <w:rFonts w:ascii="Aptos" w:eastAsia="Aptos" w:hAnsi="Aptos" w:cs="Aptos"/>
              </w:rPr>
              <w:t xml:space="preserve"> #SocialConnection</w:t>
            </w:r>
          </w:p>
        </w:tc>
      </w:tr>
      <w:tr w:rsidR="00DD7F09" w14:paraId="6A228B4C" w14:textId="77777777" w:rsidTr="00E44E01">
        <w:trPr>
          <w:trHeight w:val="300"/>
        </w:trPr>
        <w:tc>
          <w:tcPr>
            <w:tcW w:w="1697" w:type="dxa"/>
          </w:tcPr>
          <w:p w14:paraId="495D54BD" w14:textId="77777777" w:rsidR="00DD7F09" w:rsidRDefault="004E07E3" w:rsidP="004E07E3">
            <w:r>
              <w:lastRenderedPageBreak/>
              <w:t>2/20</w:t>
            </w:r>
          </w:p>
          <w:p w14:paraId="4277E0AE" w14:textId="77777777" w:rsidR="004E07E3" w:rsidRDefault="004E07E3" w:rsidP="004E07E3"/>
          <w:p w14:paraId="6BEADBC7" w14:textId="30171ACF" w:rsidR="004E07E3" w:rsidRDefault="004E07E3" w:rsidP="004E07E3">
            <w:r>
              <w:t>*National Caregivers Day</w:t>
            </w:r>
          </w:p>
        </w:tc>
        <w:tc>
          <w:tcPr>
            <w:tcW w:w="5376" w:type="dxa"/>
          </w:tcPr>
          <w:p w14:paraId="1C3ECD2D" w14:textId="349C04B7" w:rsidR="00DD7F09" w:rsidRDefault="001063E8" w:rsidP="00DD7F09">
            <w:r>
              <w:rPr>
                <w:noProof/>
              </w:rPr>
              <w:drawing>
                <wp:inline distT="0" distB="0" distL="0" distR="0" wp14:anchorId="606DAE7B" wp14:editId="57D5B450">
                  <wp:extent cx="3272497" cy="2743200"/>
                  <wp:effectExtent l="0" t="0" r="4445" b="0"/>
                  <wp:docPr id="1823012483" name="Picture 2" descr="A close-up of hands holding a ca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012483" name="Picture 2" descr="A close-up of hands holding a card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497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2" w:type="dxa"/>
          </w:tcPr>
          <w:p w14:paraId="133BBB48" w14:textId="2B2B8185" w:rsidR="00E13C78" w:rsidRDefault="00E21901" w:rsidP="00E13C78">
            <w:pPr>
              <w:rPr>
                <w:rFonts w:ascii="Aptos" w:eastAsia="Aptos" w:hAnsi="Aptos" w:cs="Aptos"/>
              </w:rPr>
            </w:pPr>
            <w:r w:rsidRPr="00E21901">
              <w:rPr>
                <w:rFonts w:ascii="Aptos" w:eastAsia="Aptos" w:hAnsi="Aptos" w:cs="Aptos"/>
              </w:rPr>
              <w:t>While caregivers devote so much of themselves to others, their need for connection and support deserves attention as well.</w:t>
            </w:r>
            <w:r>
              <w:rPr>
                <w:rFonts w:ascii="Aptos" w:eastAsia="Aptos" w:hAnsi="Aptos" w:cs="Aptos"/>
              </w:rPr>
              <w:t xml:space="preserve"> </w:t>
            </w:r>
            <w:r w:rsidR="00E13C78" w:rsidRPr="00E13C78">
              <w:rPr>
                <w:rFonts w:ascii="Aptos" w:eastAsia="Aptos" w:hAnsi="Aptos" w:cs="Aptos"/>
              </w:rPr>
              <w:t>Meaningful connections can reduce stress, prevent burnout, and remind caregivers they’re not alone.</w:t>
            </w:r>
          </w:p>
          <w:p w14:paraId="1FD9F8FE" w14:textId="77777777" w:rsidR="00E13C78" w:rsidRPr="00E13C78" w:rsidRDefault="00E13C78" w:rsidP="00E13C78">
            <w:pPr>
              <w:rPr>
                <w:rFonts w:ascii="Aptos" w:eastAsia="Aptos" w:hAnsi="Aptos" w:cs="Aptos"/>
              </w:rPr>
            </w:pPr>
          </w:p>
          <w:p w14:paraId="758C65D0" w14:textId="77777777" w:rsidR="00E13C78" w:rsidRDefault="00E13C78" w:rsidP="00E13C78">
            <w:pPr>
              <w:rPr>
                <w:rFonts w:ascii="Aptos" w:eastAsia="Aptos" w:hAnsi="Aptos" w:cs="Aptos"/>
              </w:rPr>
            </w:pPr>
            <w:r w:rsidRPr="00E13C78">
              <w:rPr>
                <w:rFonts w:ascii="Aptos" w:eastAsia="Aptos" w:hAnsi="Aptos" w:cs="Aptos"/>
              </w:rPr>
              <w:t xml:space="preserve">Whether it’s a support group, a quick check-in with a friend, or time spent with others who understand the caregiving journey, social connection helps </w:t>
            </w:r>
            <w:proofErr w:type="gramStart"/>
            <w:r w:rsidRPr="00E13C78">
              <w:rPr>
                <w:rFonts w:ascii="Aptos" w:eastAsia="Aptos" w:hAnsi="Aptos" w:cs="Aptos"/>
              </w:rPr>
              <w:t>caregivers</w:t>
            </w:r>
            <w:proofErr w:type="gramEnd"/>
            <w:r w:rsidRPr="00E13C78">
              <w:rPr>
                <w:rFonts w:ascii="Aptos" w:eastAsia="Aptos" w:hAnsi="Aptos" w:cs="Aptos"/>
              </w:rPr>
              <w:t xml:space="preserve"> recharge and stay resilient.</w:t>
            </w:r>
          </w:p>
          <w:p w14:paraId="7BD3A5E7" w14:textId="77777777" w:rsidR="00E13C78" w:rsidRPr="00E13C78" w:rsidRDefault="00E13C78" w:rsidP="00E13C78">
            <w:pPr>
              <w:rPr>
                <w:rFonts w:ascii="Aptos" w:eastAsia="Aptos" w:hAnsi="Aptos" w:cs="Aptos"/>
              </w:rPr>
            </w:pPr>
          </w:p>
          <w:p w14:paraId="262AC04B" w14:textId="77777777" w:rsidR="00E13C78" w:rsidRPr="00E13C78" w:rsidRDefault="00E13C78" w:rsidP="00E13C78">
            <w:pPr>
              <w:rPr>
                <w:rFonts w:ascii="Aptos" w:eastAsia="Aptos" w:hAnsi="Aptos" w:cs="Aptos"/>
              </w:rPr>
            </w:pPr>
            <w:r w:rsidRPr="00E13C78">
              <w:rPr>
                <w:rFonts w:ascii="Aptos" w:eastAsia="Aptos" w:hAnsi="Aptos" w:cs="Aptos"/>
              </w:rPr>
              <w:t>Caring for others starts with caring for yourself—and connection is a powerful form of support.</w:t>
            </w:r>
          </w:p>
          <w:p w14:paraId="0A21849D" w14:textId="77777777" w:rsidR="00DD7F09" w:rsidRPr="001F1873" w:rsidRDefault="00DD7F09" w:rsidP="00DD7F09">
            <w:pPr>
              <w:rPr>
                <w:rFonts w:ascii="Aptos" w:eastAsia="Aptos" w:hAnsi="Aptos" w:cs="Aptos"/>
              </w:rPr>
            </w:pPr>
          </w:p>
          <w:p w14:paraId="3A0D61C3" w14:textId="2CBF123B" w:rsidR="00DD7F09" w:rsidRDefault="00D85F4E" w:rsidP="00DD7F09">
            <w:pPr>
              <w:rPr>
                <w:rFonts w:ascii="Aptos" w:eastAsia="Aptos" w:hAnsi="Aptos" w:cs="Aptos"/>
              </w:rPr>
            </w:pPr>
            <w:r w:rsidRPr="00D956D8">
              <w:rPr>
                <w:rFonts w:ascii="Aptos" w:eastAsia="Aptos" w:hAnsi="Aptos" w:cs="Aptos"/>
              </w:rPr>
              <w:t>Discover more ways to build connection — head to ConnectWI.org.</w:t>
            </w:r>
            <w:r>
              <w:rPr>
                <w:rFonts w:ascii="Aptos" w:eastAsia="Aptos" w:hAnsi="Aptos" w:cs="Aptos"/>
              </w:rPr>
              <w:t xml:space="preserve"> </w:t>
            </w:r>
            <w:r w:rsidRPr="4FFE35E8">
              <w:rPr>
                <w:rFonts w:ascii="Aptos" w:eastAsia="Aptos" w:hAnsi="Aptos" w:cs="Aptos"/>
              </w:rPr>
              <w:t>#ConnectWI</w:t>
            </w:r>
            <w:r>
              <w:rPr>
                <w:rFonts w:ascii="Aptos" w:eastAsia="Aptos" w:hAnsi="Aptos" w:cs="Aptos"/>
              </w:rPr>
              <w:t xml:space="preserve"> #SocialConnection</w:t>
            </w:r>
          </w:p>
        </w:tc>
      </w:tr>
    </w:tbl>
    <w:p w14:paraId="73695FA1" w14:textId="4201178A" w:rsidR="4FFE35E8" w:rsidRDefault="4FFE35E8"/>
    <w:p w14:paraId="64BC267D" w14:textId="77777777" w:rsidR="00F222D4" w:rsidRDefault="00F222D4"/>
    <w:sectPr w:rsidR="00F222D4" w:rsidSect="00E44E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ACA5" w14:textId="77777777" w:rsidR="007B45CF" w:rsidRDefault="007B45CF" w:rsidP="007B45CF">
      <w:pPr>
        <w:spacing w:after="0" w:line="240" w:lineRule="auto"/>
      </w:pPr>
      <w:r>
        <w:separator/>
      </w:r>
    </w:p>
  </w:endnote>
  <w:endnote w:type="continuationSeparator" w:id="0">
    <w:p w14:paraId="630E0F51" w14:textId="77777777" w:rsidR="007B45CF" w:rsidRDefault="007B45CF" w:rsidP="007B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F317" w14:textId="77777777" w:rsidR="007B45CF" w:rsidRDefault="007B45CF" w:rsidP="007B45CF">
      <w:pPr>
        <w:spacing w:after="0" w:line="240" w:lineRule="auto"/>
      </w:pPr>
      <w:r>
        <w:separator/>
      </w:r>
    </w:p>
  </w:footnote>
  <w:footnote w:type="continuationSeparator" w:id="0">
    <w:p w14:paraId="31B65EE1" w14:textId="77777777" w:rsidR="007B45CF" w:rsidRDefault="007B45CF" w:rsidP="007B4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16F4F"/>
    <w:multiLevelType w:val="multilevel"/>
    <w:tmpl w:val="CD08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B8A15"/>
    <w:multiLevelType w:val="hybridMultilevel"/>
    <w:tmpl w:val="4F249F14"/>
    <w:lvl w:ilvl="0" w:tplc="5A303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CEA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F2F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D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8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E4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A3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A2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E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430550">
    <w:abstractNumId w:val="1"/>
  </w:num>
  <w:num w:numId="2" w16cid:durableId="26261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CE"/>
    <w:rsid w:val="00100998"/>
    <w:rsid w:val="00104AEF"/>
    <w:rsid w:val="001063E8"/>
    <w:rsid w:val="001065F8"/>
    <w:rsid w:val="00121A13"/>
    <w:rsid w:val="00122303"/>
    <w:rsid w:val="00150834"/>
    <w:rsid w:val="00155D04"/>
    <w:rsid w:val="00164A2F"/>
    <w:rsid w:val="00166611"/>
    <w:rsid w:val="00167FAE"/>
    <w:rsid w:val="001906DB"/>
    <w:rsid w:val="001B1545"/>
    <w:rsid w:val="001D736A"/>
    <w:rsid w:val="001F02F3"/>
    <w:rsid w:val="001F1873"/>
    <w:rsid w:val="0022679B"/>
    <w:rsid w:val="00247326"/>
    <w:rsid w:val="002D5262"/>
    <w:rsid w:val="002F5F56"/>
    <w:rsid w:val="003116CF"/>
    <w:rsid w:val="00355BCF"/>
    <w:rsid w:val="00384F33"/>
    <w:rsid w:val="003A692E"/>
    <w:rsid w:val="003B7330"/>
    <w:rsid w:val="003E1D69"/>
    <w:rsid w:val="003F7C13"/>
    <w:rsid w:val="00402FC4"/>
    <w:rsid w:val="00411772"/>
    <w:rsid w:val="004164B8"/>
    <w:rsid w:val="00434208"/>
    <w:rsid w:val="00442F07"/>
    <w:rsid w:val="0046247D"/>
    <w:rsid w:val="00477FB8"/>
    <w:rsid w:val="004E07E3"/>
    <w:rsid w:val="00505DDA"/>
    <w:rsid w:val="00525906"/>
    <w:rsid w:val="005B5055"/>
    <w:rsid w:val="005B60DD"/>
    <w:rsid w:val="005E1E46"/>
    <w:rsid w:val="005F4C4F"/>
    <w:rsid w:val="00600B91"/>
    <w:rsid w:val="006626A8"/>
    <w:rsid w:val="0067577C"/>
    <w:rsid w:val="006A3249"/>
    <w:rsid w:val="006E3B71"/>
    <w:rsid w:val="006E3EC7"/>
    <w:rsid w:val="00797FBD"/>
    <w:rsid w:val="007B186F"/>
    <w:rsid w:val="007B45CF"/>
    <w:rsid w:val="008008F5"/>
    <w:rsid w:val="00801F2F"/>
    <w:rsid w:val="00813209"/>
    <w:rsid w:val="00846C7C"/>
    <w:rsid w:val="008511DD"/>
    <w:rsid w:val="00863E40"/>
    <w:rsid w:val="0087627D"/>
    <w:rsid w:val="008C394C"/>
    <w:rsid w:val="008E25E6"/>
    <w:rsid w:val="0093491E"/>
    <w:rsid w:val="00937E48"/>
    <w:rsid w:val="00997F09"/>
    <w:rsid w:val="009B1E8C"/>
    <w:rsid w:val="009C6BD6"/>
    <w:rsid w:val="009D1413"/>
    <w:rsid w:val="009D5DB2"/>
    <w:rsid w:val="009F6B8F"/>
    <w:rsid w:val="00A15DCE"/>
    <w:rsid w:val="00A40E66"/>
    <w:rsid w:val="00AA6C42"/>
    <w:rsid w:val="00AB5287"/>
    <w:rsid w:val="00B06911"/>
    <w:rsid w:val="00B71205"/>
    <w:rsid w:val="00B852C7"/>
    <w:rsid w:val="00BE5C99"/>
    <w:rsid w:val="00C02FAA"/>
    <w:rsid w:val="00C46508"/>
    <w:rsid w:val="00C5336E"/>
    <w:rsid w:val="00C6435A"/>
    <w:rsid w:val="00CB7DB1"/>
    <w:rsid w:val="00CE621A"/>
    <w:rsid w:val="00D0CAE4"/>
    <w:rsid w:val="00D35217"/>
    <w:rsid w:val="00D567E9"/>
    <w:rsid w:val="00D85F4E"/>
    <w:rsid w:val="00D956D8"/>
    <w:rsid w:val="00DA29E8"/>
    <w:rsid w:val="00DD5A83"/>
    <w:rsid w:val="00DD7DC8"/>
    <w:rsid w:val="00DD7F09"/>
    <w:rsid w:val="00E13C78"/>
    <w:rsid w:val="00E21901"/>
    <w:rsid w:val="00E44E01"/>
    <w:rsid w:val="00E7317C"/>
    <w:rsid w:val="00E7635F"/>
    <w:rsid w:val="00E85224"/>
    <w:rsid w:val="00EC13A0"/>
    <w:rsid w:val="00EE0BAA"/>
    <w:rsid w:val="00F222D4"/>
    <w:rsid w:val="00F4084C"/>
    <w:rsid w:val="00F81A70"/>
    <w:rsid w:val="00F9521D"/>
    <w:rsid w:val="00F97BE9"/>
    <w:rsid w:val="037E4F31"/>
    <w:rsid w:val="038F8F8F"/>
    <w:rsid w:val="03AAE4AE"/>
    <w:rsid w:val="08D4EA7C"/>
    <w:rsid w:val="10D3111C"/>
    <w:rsid w:val="1150ECBE"/>
    <w:rsid w:val="12523320"/>
    <w:rsid w:val="196F1BC1"/>
    <w:rsid w:val="1B7BED8F"/>
    <w:rsid w:val="1F234057"/>
    <w:rsid w:val="2D7BABA3"/>
    <w:rsid w:val="2DE19899"/>
    <w:rsid w:val="31357604"/>
    <w:rsid w:val="355B897C"/>
    <w:rsid w:val="365B4F86"/>
    <w:rsid w:val="38016EB7"/>
    <w:rsid w:val="3955CB87"/>
    <w:rsid w:val="3F30F9C8"/>
    <w:rsid w:val="4041FF8F"/>
    <w:rsid w:val="4473CEBB"/>
    <w:rsid w:val="48F878D2"/>
    <w:rsid w:val="4FFE35E8"/>
    <w:rsid w:val="5399B539"/>
    <w:rsid w:val="54F35163"/>
    <w:rsid w:val="552FD480"/>
    <w:rsid w:val="5ADD8489"/>
    <w:rsid w:val="62C96E04"/>
    <w:rsid w:val="64F06449"/>
    <w:rsid w:val="6CA04217"/>
    <w:rsid w:val="6F5EEA2B"/>
    <w:rsid w:val="74996A3D"/>
    <w:rsid w:val="75A1B8F7"/>
    <w:rsid w:val="7706B9A5"/>
    <w:rsid w:val="7D6CB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C803"/>
  <w15:chartTrackingRefBased/>
  <w15:docId w15:val="{0E941B2B-73D8-41C0-9F13-465FFF70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83"/>
  </w:style>
  <w:style w:type="paragraph" w:styleId="Heading1">
    <w:name w:val="heading 1"/>
    <w:basedOn w:val="Normal"/>
    <w:next w:val="Normal"/>
    <w:link w:val="Heading1Char"/>
    <w:uiPriority w:val="9"/>
    <w:qFormat/>
    <w:rsid w:val="00A1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F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6C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CF"/>
  </w:style>
  <w:style w:type="paragraph" w:styleId="Footer">
    <w:name w:val="footer"/>
    <w:basedOn w:val="Normal"/>
    <w:link w:val="FooterChar"/>
    <w:uiPriority w:val="99"/>
    <w:unhideWhenUsed/>
    <w:rsid w:val="007B4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CF"/>
  </w:style>
  <w:style w:type="character" w:styleId="FollowedHyperlink">
    <w:name w:val="FollowedHyperlink"/>
    <w:basedOn w:val="DefaultParagraphFont"/>
    <w:uiPriority w:val="99"/>
    <w:semiHidden/>
    <w:unhideWhenUsed/>
    <w:rsid w:val="00DD7D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524b7-74bf-4061-9bbc-49fa7d72951c" xsi:nil="true"/>
    <lcf76f155ced4ddcb4097134ff3c332f xmlns="0ec17be5-22de-4fb0-b6fe-d92695e527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46D8BEA50984CA4984655A0A8079A" ma:contentTypeVersion="14" ma:contentTypeDescription="Create a new document." ma:contentTypeScope="" ma:versionID="378120f42acf023cd1c2b83e3a5cf7d3">
  <xsd:schema xmlns:xsd="http://www.w3.org/2001/XMLSchema" xmlns:xs="http://www.w3.org/2001/XMLSchema" xmlns:p="http://schemas.microsoft.com/office/2006/metadata/properties" xmlns:ns2="0ec17be5-22de-4fb0-b6fe-d92695e527d2" xmlns:ns3="b76524b7-74bf-4061-9bbc-49fa7d72951c" targetNamespace="http://schemas.microsoft.com/office/2006/metadata/properties" ma:root="true" ma:fieldsID="a42dd14e5642d76c70ecb55573167cd5" ns2:_="" ns3:_="">
    <xsd:import namespace="0ec17be5-22de-4fb0-b6fe-d92695e527d2"/>
    <xsd:import namespace="b76524b7-74bf-4061-9bbc-49fa7d72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7be5-22de-4fb0-b6fe-d92695e52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e0ca4f4-bd4a-4530-8d17-0334718f0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24b7-74bf-4061-9bbc-49fa7d7295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8bfaa1-68b0-4321-8145-30d0d4005d2d}" ma:internalName="TaxCatchAll" ma:showField="CatchAllData" ma:web="b76524b7-74bf-4061-9bbc-49fa7d72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CC10D-31CB-4B50-BA4B-EE19D1467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2689E-E87E-415C-B411-F890C2436B09}">
  <ds:schemaRefs>
    <ds:schemaRef ds:uri="http://purl.org/dc/dcmitype/"/>
    <ds:schemaRef ds:uri="http://purl.org/dc/elements/1.1/"/>
    <ds:schemaRef ds:uri="http://schemas.microsoft.com/office/2006/documentManagement/types"/>
    <ds:schemaRef ds:uri="b76524b7-74bf-4061-9bbc-49fa7d72951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ec17be5-22de-4fb0-b6fe-d92695e527d2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116BA2-C597-4732-BA2B-F9421DE81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17be5-22de-4fb0-b6fe-d92695e527d2"/>
    <ds:schemaRef ds:uri="b76524b7-74bf-4061-9bbc-49fa7d729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293</Words>
  <Characters>1615</Characters>
  <Application>Microsoft Office Word</Application>
  <DocSecurity>0</DocSecurity>
  <Lines>62</Lines>
  <Paragraphs>18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Morley</dc:creator>
  <cp:keywords/>
  <dc:description/>
  <cp:lastModifiedBy>Suzanne Morley</cp:lastModifiedBy>
  <cp:revision>89</cp:revision>
  <dcterms:created xsi:type="dcterms:W3CDTF">2025-06-26T10:47:00Z</dcterms:created>
  <dcterms:modified xsi:type="dcterms:W3CDTF">2026-01-16T14:46:00Z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0x010100C1046D8BEA50984CA4984655A0A8079A</vt:lpwstr>
  </property>
  <property fmtid="{D5CDD505-2E9C-101B-9397-08002B2CF9AE}" pid="3" name="MediaServiceImageTags">
    <vt:lpwstr/>
  </property>
</Properties>
</file>